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bookmarkStart w:id="0" w:name="_GoBack"/>
      <w:r w:rsidRPr="004E7507">
        <w:rPr>
          <w:rFonts w:ascii="Helvetica" w:eastAsia="Times New Roman" w:hAnsi="Helvetica" w:cs="Helvetica"/>
          <w:color w:val="555555"/>
          <w:sz w:val="23"/>
          <w:szCs w:val="23"/>
          <w:lang w:eastAsia="en-GB"/>
        </w:rPr>
        <w:t>On the 10</w:t>
      </w:r>
      <w:r w:rsidRPr="004E7507">
        <w:rPr>
          <w:rFonts w:ascii="Helvetica" w:eastAsia="Times New Roman" w:hAnsi="Helvetica" w:cs="Helvetica"/>
          <w:color w:val="555555"/>
          <w:sz w:val="17"/>
          <w:szCs w:val="17"/>
          <w:bdr w:val="none" w:sz="0" w:space="0" w:color="auto" w:frame="1"/>
          <w:vertAlign w:val="superscript"/>
          <w:lang w:eastAsia="en-GB"/>
        </w:rPr>
        <w:t>th</w:t>
      </w:r>
      <w:r w:rsidRPr="004E7507">
        <w:rPr>
          <w:rFonts w:ascii="Helvetica" w:eastAsia="Times New Roman" w:hAnsi="Helvetica" w:cs="Helvetica"/>
          <w:color w:val="555555"/>
          <w:sz w:val="23"/>
          <w:szCs w:val="23"/>
          <w:lang w:eastAsia="en-GB"/>
        </w:rPr>
        <w:t> of October 2014, the DTI issued the Amended BBBEE Codes of Good Practice for Qualifying Small Enterprises (QSE’s) and invited the public to submit comments on the amendments made within 30 days.   Companies are reminded that compliance to these Amended Codes must be applied urgently and immediately, to ensure good BEE levels are maintained from 1 May 2015 when all BEE certificates will be measured against these new requirements.</w:t>
      </w:r>
    </w:p>
    <w:p w:rsidR="004E7507" w:rsidRPr="004E7507" w:rsidRDefault="004E7507" w:rsidP="004E7507">
      <w:pPr>
        <w:shd w:val="clear" w:color="auto" w:fill="FFFFFF"/>
        <w:spacing w:after="288"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The gazette also provides clarity on the following, which was not addressed in the initial Amended Codes of Good Practice gazette on the 11 October 2013</w:t>
      </w:r>
      <w:bookmarkEnd w:id="0"/>
      <w:r w:rsidRPr="004E7507">
        <w:rPr>
          <w:rFonts w:ascii="Helvetica" w:eastAsia="Times New Roman" w:hAnsi="Helvetica" w:cs="Helvetica"/>
          <w:color w:val="555555"/>
          <w:sz w:val="23"/>
          <w:szCs w:val="23"/>
          <w:lang w:eastAsia="en-GB"/>
        </w:rPr>
        <w:t>.</w:t>
      </w:r>
    </w:p>
    <w:p w:rsidR="004E7507" w:rsidRPr="004E7507" w:rsidRDefault="004E7507" w:rsidP="004E7507">
      <w:pPr>
        <w:numPr>
          <w:ilvl w:val="0"/>
          <w:numId w:val="1"/>
        </w:numPr>
        <w:shd w:val="clear" w:color="auto" w:fill="FFFFFF"/>
        <w:spacing w:after="0" w:line="375"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Scorecard for Specialised Enterprises</w:t>
      </w:r>
    </w:p>
    <w:p w:rsidR="004E7507" w:rsidRPr="004E7507" w:rsidRDefault="004E7507" w:rsidP="004E7507">
      <w:pPr>
        <w:numPr>
          <w:ilvl w:val="0"/>
          <w:numId w:val="1"/>
        </w:numPr>
        <w:shd w:val="clear" w:color="auto" w:fill="FFFFFF"/>
        <w:spacing w:after="0" w:line="375"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Recognition in the Sale of Assets</w:t>
      </w:r>
    </w:p>
    <w:p w:rsidR="004E7507" w:rsidRPr="004E7507" w:rsidRDefault="004E7507" w:rsidP="004E7507">
      <w:pPr>
        <w:numPr>
          <w:ilvl w:val="0"/>
          <w:numId w:val="1"/>
        </w:numPr>
        <w:shd w:val="clear" w:color="auto" w:fill="FFFFFF"/>
        <w:spacing w:after="0" w:line="375"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Recognition of Equity Equivalents for Multinationals</w:t>
      </w:r>
    </w:p>
    <w:p w:rsidR="004E7507" w:rsidRPr="004E7507" w:rsidRDefault="004E7507" w:rsidP="004E7507">
      <w:pPr>
        <w:shd w:val="clear" w:color="auto" w:fill="FFFFFF"/>
        <w:spacing w:after="288"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 </w:t>
      </w:r>
    </w:p>
    <w:p w:rsidR="004E7507" w:rsidRPr="004E7507" w:rsidRDefault="004E7507" w:rsidP="004E7507">
      <w:pPr>
        <w:shd w:val="clear" w:color="auto" w:fill="FFFFFF"/>
        <w:spacing w:after="120" w:line="360" w:lineRule="atLeast"/>
        <w:textAlignment w:val="baseline"/>
        <w:outlineLvl w:val="2"/>
        <w:rPr>
          <w:rFonts w:ascii="Helvetica" w:eastAsia="Times New Roman" w:hAnsi="Helvetica" w:cs="Helvetica"/>
          <w:b/>
          <w:bCs/>
          <w:color w:val="B60404"/>
          <w:sz w:val="30"/>
          <w:szCs w:val="30"/>
          <w:lang w:eastAsia="en-GB"/>
        </w:rPr>
      </w:pPr>
      <w:r w:rsidRPr="004E7507">
        <w:rPr>
          <w:rFonts w:ascii="Helvetica" w:eastAsia="Times New Roman" w:hAnsi="Helvetica" w:cs="Helvetica"/>
          <w:b/>
          <w:bCs/>
          <w:color w:val="B60404"/>
          <w:sz w:val="30"/>
          <w:szCs w:val="30"/>
          <w:lang w:eastAsia="en-GB"/>
        </w:rPr>
        <w:t>Some of the highlights in the QSE Amended Codes of Good Practice are:</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1. The elements to BEE have now changed from 7 to 5, QSEs having to comply with all 5.</w:t>
      </w:r>
    </w:p>
    <w:tbl>
      <w:tblPr>
        <w:tblW w:w="1527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370"/>
        <w:gridCol w:w="2113"/>
        <w:gridCol w:w="2132"/>
        <w:gridCol w:w="3425"/>
        <w:gridCol w:w="2113"/>
        <w:gridCol w:w="2117"/>
      </w:tblGrid>
      <w:tr w:rsidR="004E7507" w:rsidRPr="004E7507" w:rsidTr="004E7507">
        <w:trPr>
          <w:tblCellSpacing w:w="0" w:type="dxa"/>
        </w:trPr>
        <w:tc>
          <w:tcPr>
            <w:tcW w:w="3972" w:type="dxa"/>
            <w:gridSpan w:val="3"/>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2007 Codes of Good Practice</w:t>
            </w:r>
          </w:p>
        </w:tc>
        <w:tc>
          <w:tcPr>
            <w:tcW w:w="3588" w:type="dxa"/>
            <w:gridSpan w:val="3"/>
            <w:tcBorders>
              <w:top w:val="outset" w:sz="2" w:space="0" w:color="auto"/>
              <w:left w:val="outset" w:sz="2" w:space="0" w:color="auto"/>
              <w:bottom w:val="single" w:sz="6" w:space="0" w:color="CCCCCC"/>
              <w:right w:val="outset" w:sz="2" w:space="0" w:color="auto"/>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Amended Codes of Good Practice October 2014</w:t>
            </w: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Elements</w:t>
            </w:r>
          </w:p>
        </w:tc>
        <w:tc>
          <w:tcPr>
            <w:tcW w:w="780"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Points</w:t>
            </w:r>
          </w:p>
        </w:tc>
        <w:tc>
          <w:tcPr>
            <w:tcW w:w="99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Bonus</w:t>
            </w:r>
          </w:p>
        </w:tc>
        <w:tc>
          <w:tcPr>
            <w:tcW w:w="2232"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Elements</w:t>
            </w:r>
          </w:p>
        </w:tc>
        <w:tc>
          <w:tcPr>
            <w:tcW w:w="684"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Points</w:t>
            </w:r>
          </w:p>
        </w:tc>
        <w:tc>
          <w:tcPr>
            <w:tcW w:w="684"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Bonus</w:t>
            </w: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Ownership</w:t>
            </w:r>
          </w:p>
        </w:tc>
        <w:tc>
          <w:tcPr>
            <w:tcW w:w="78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99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3</w:t>
            </w:r>
          </w:p>
        </w:tc>
        <w:tc>
          <w:tcPr>
            <w:tcW w:w="2232" w:type="dxa"/>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Ownership</w:t>
            </w:r>
          </w:p>
        </w:tc>
        <w:tc>
          <w:tcPr>
            <w:tcW w:w="684" w:type="dxa"/>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684"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Management Control</w:t>
            </w:r>
          </w:p>
        </w:tc>
        <w:tc>
          <w:tcPr>
            <w:tcW w:w="780"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99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w:t>
            </w:r>
          </w:p>
        </w:tc>
        <w:tc>
          <w:tcPr>
            <w:tcW w:w="2232" w:type="dxa"/>
            <w:vMerge w:val="restart"/>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Management Control</w:t>
            </w:r>
          </w:p>
        </w:tc>
        <w:tc>
          <w:tcPr>
            <w:tcW w:w="684" w:type="dxa"/>
            <w:vMerge w:val="restart"/>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15</w:t>
            </w:r>
          </w:p>
        </w:tc>
        <w:tc>
          <w:tcPr>
            <w:tcW w:w="684" w:type="dxa"/>
            <w:vMerge w:val="restart"/>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Employment Equity</w:t>
            </w:r>
          </w:p>
        </w:tc>
        <w:tc>
          <w:tcPr>
            <w:tcW w:w="78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996"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3</w:t>
            </w:r>
          </w:p>
        </w:tc>
        <w:tc>
          <w:tcPr>
            <w:tcW w:w="0" w:type="auto"/>
            <w:vMerge/>
            <w:tcBorders>
              <w:top w:val="outset" w:sz="2" w:space="0" w:color="auto"/>
              <w:left w:val="outset" w:sz="2" w:space="0" w:color="auto"/>
              <w:bottom w:val="single" w:sz="6" w:space="0" w:color="CCCCCC"/>
              <w:right w:val="dotted" w:sz="6" w:space="0" w:color="CCCCCC"/>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c>
          <w:tcPr>
            <w:tcW w:w="0" w:type="auto"/>
            <w:vMerge/>
            <w:tcBorders>
              <w:top w:val="outset" w:sz="2" w:space="0" w:color="auto"/>
              <w:left w:val="outset" w:sz="2" w:space="0" w:color="auto"/>
              <w:bottom w:val="single" w:sz="6" w:space="0" w:color="CCCCCC"/>
              <w:right w:val="dotted" w:sz="6" w:space="0" w:color="CCCCCC"/>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c>
          <w:tcPr>
            <w:tcW w:w="0" w:type="auto"/>
            <w:vMerge/>
            <w:tcBorders>
              <w:top w:val="outset" w:sz="2" w:space="0" w:color="auto"/>
              <w:left w:val="outset" w:sz="2" w:space="0" w:color="auto"/>
              <w:bottom w:val="single" w:sz="6" w:space="0" w:color="CCCCCC"/>
              <w:right w:val="outset" w:sz="2" w:space="0" w:color="auto"/>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lastRenderedPageBreak/>
              <w:t>Skills Development</w:t>
            </w:r>
          </w:p>
        </w:tc>
        <w:tc>
          <w:tcPr>
            <w:tcW w:w="780"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99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c>
          <w:tcPr>
            <w:tcW w:w="2232"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Skills Development</w:t>
            </w:r>
          </w:p>
        </w:tc>
        <w:tc>
          <w:tcPr>
            <w:tcW w:w="684"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684"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Preferential Procurement</w:t>
            </w:r>
          </w:p>
        </w:tc>
        <w:tc>
          <w:tcPr>
            <w:tcW w:w="78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99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c>
          <w:tcPr>
            <w:tcW w:w="2232" w:type="dxa"/>
            <w:vMerge w:val="restart"/>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Enterprise and Supplier Development</w:t>
            </w:r>
          </w:p>
        </w:tc>
        <w:tc>
          <w:tcPr>
            <w:tcW w:w="684" w:type="dxa"/>
            <w:vMerge w:val="restart"/>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30</w:t>
            </w:r>
          </w:p>
        </w:tc>
        <w:tc>
          <w:tcPr>
            <w:tcW w:w="684" w:type="dxa"/>
            <w:vMerge w:val="restart"/>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Enterprise Development</w:t>
            </w:r>
          </w:p>
        </w:tc>
        <w:tc>
          <w:tcPr>
            <w:tcW w:w="780"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996"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c>
          <w:tcPr>
            <w:tcW w:w="0" w:type="auto"/>
            <w:vMerge/>
            <w:tcBorders>
              <w:top w:val="outset" w:sz="2" w:space="0" w:color="auto"/>
              <w:left w:val="outset" w:sz="2" w:space="0" w:color="auto"/>
              <w:bottom w:val="single" w:sz="6" w:space="0" w:color="CCCCCC"/>
              <w:right w:val="dotted" w:sz="6" w:space="0" w:color="CCCCCC"/>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c>
          <w:tcPr>
            <w:tcW w:w="0" w:type="auto"/>
            <w:vMerge/>
            <w:tcBorders>
              <w:top w:val="outset" w:sz="2" w:space="0" w:color="auto"/>
              <w:left w:val="outset" w:sz="2" w:space="0" w:color="auto"/>
              <w:bottom w:val="single" w:sz="6" w:space="0" w:color="CCCCCC"/>
              <w:right w:val="dotted" w:sz="6" w:space="0" w:color="CCCCCC"/>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c>
          <w:tcPr>
            <w:tcW w:w="0" w:type="auto"/>
            <w:vMerge/>
            <w:tcBorders>
              <w:top w:val="outset" w:sz="2" w:space="0" w:color="auto"/>
              <w:left w:val="outset" w:sz="2" w:space="0" w:color="auto"/>
              <w:bottom w:val="single" w:sz="6" w:space="0" w:color="CCCCCC"/>
              <w:right w:val="outset" w:sz="2" w:space="0" w:color="auto"/>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r>
      <w:tr w:rsidR="004E7507" w:rsidRPr="004E7507" w:rsidTr="004E7507">
        <w:trPr>
          <w:tblCellSpacing w:w="0" w:type="dxa"/>
        </w:trPr>
        <w:tc>
          <w:tcPr>
            <w:tcW w:w="219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Socio-Economic Development</w:t>
            </w:r>
          </w:p>
        </w:tc>
        <w:tc>
          <w:tcPr>
            <w:tcW w:w="78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c>
          <w:tcPr>
            <w:tcW w:w="99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c>
          <w:tcPr>
            <w:tcW w:w="2232" w:type="dxa"/>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Socio-Economic Development</w:t>
            </w:r>
          </w:p>
        </w:tc>
        <w:tc>
          <w:tcPr>
            <w:tcW w:w="684" w:type="dxa"/>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5</w:t>
            </w:r>
          </w:p>
        </w:tc>
        <w:tc>
          <w:tcPr>
            <w:tcW w:w="684"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r>
      <w:tr w:rsidR="004E7507" w:rsidRPr="004E7507" w:rsidTr="004E7507">
        <w:trPr>
          <w:tblCellSpacing w:w="0" w:type="dxa"/>
        </w:trPr>
        <w:tc>
          <w:tcPr>
            <w:tcW w:w="2196" w:type="dxa"/>
            <w:tcBorders>
              <w:top w:val="outset" w:sz="2" w:space="0" w:color="auto"/>
              <w:left w:val="outset" w:sz="2" w:space="0" w:color="auto"/>
              <w:bottom w:val="outset" w:sz="2" w:space="0" w:color="auto"/>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Total (after selecting any 4 of the above elements)</w:t>
            </w:r>
          </w:p>
        </w:tc>
        <w:tc>
          <w:tcPr>
            <w:tcW w:w="780" w:type="dxa"/>
            <w:tcBorders>
              <w:top w:val="outset" w:sz="2" w:space="0" w:color="auto"/>
              <w:left w:val="outset" w:sz="2" w:space="0" w:color="auto"/>
              <w:bottom w:val="outset" w:sz="2" w:space="0" w:color="auto"/>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100</w:t>
            </w:r>
          </w:p>
        </w:tc>
        <w:tc>
          <w:tcPr>
            <w:tcW w:w="996" w:type="dxa"/>
            <w:tcBorders>
              <w:top w:val="outset" w:sz="2" w:space="0" w:color="auto"/>
              <w:left w:val="outset" w:sz="2" w:space="0" w:color="auto"/>
              <w:bottom w:val="outset" w:sz="2" w:space="0" w:color="auto"/>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8</w:t>
            </w:r>
          </w:p>
        </w:tc>
        <w:tc>
          <w:tcPr>
            <w:tcW w:w="2232" w:type="dxa"/>
            <w:tcBorders>
              <w:top w:val="outset" w:sz="2" w:space="0" w:color="auto"/>
              <w:left w:val="outset" w:sz="2" w:space="0" w:color="auto"/>
              <w:bottom w:val="outset" w:sz="2" w:space="0" w:color="auto"/>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Total</w:t>
            </w:r>
          </w:p>
        </w:tc>
        <w:tc>
          <w:tcPr>
            <w:tcW w:w="684" w:type="dxa"/>
            <w:tcBorders>
              <w:top w:val="outset" w:sz="2" w:space="0" w:color="auto"/>
              <w:left w:val="outset" w:sz="2" w:space="0" w:color="auto"/>
              <w:bottom w:val="outset" w:sz="2" w:space="0" w:color="auto"/>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100</w:t>
            </w:r>
          </w:p>
        </w:tc>
        <w:tc>
          <w:tcPr>
            <w:tcW w:w="684" w:type="dxa"/>
            <w:tcBorders>
              <w:top w:val="nil"/>
              <w:left w:val="nil"/>
              <w:bottom w:val="nil"/>
              <w:right w:val="nil"/>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0</w:t>
            </w:r>
          </w:p>
        </w:tc>
      </w:tr>
    </w:tbl>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2. QSE’s are now required to be compliant with all five elements as opposed to previously choosing the best four elements to be scored.</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 xml:space="preserve">3. The total points that can be scorecard on the scorecard </w:t>
      </w:r>
      <w:proofErr w:type="gramStart"/>
      <w:r w:rsidRPr="004E7507">
        <w:rPr>
          <w:rFonts w:ascii="Helvetica" w:eastAsia="Times New Roman" w:hAnsi="Helvetica" w:cs="Helvetica"/>
          <w:b/>
          <w:bCs/>
          <w:color w:val="555555"/>
          <w:sz w:val="23"/>
          <w:szCs w:val="23"/>
          <w:bdr w:val="none" w:sz="0" w:space="0" w:color="auto" w:frame="1"/>
          <w:lang w:eastAsia="en-GB"/>
        </w:rPr>
        <w:t>is</w:t>
      </w:r>
      <w:proofErr w:type="gramEnd"/>
      <w:r w:rsidRPr="004E7507">
        <w:rPr>
          <w:rFonts w:ascii="Helvetica" w:eastAsia="Times New Roman" w:hAnsi="Helvetica" w:cs="Helvetica"/>
          <w:b/>
          <w:bCs/>
          <w:color w:val="555555"/>
          <w:sz w:val="23"/>
          <w:szCs w:val="23"/>
          <w:bdr w:val="none" w:sz="0" w:space="0" w:color="auto" w:frame="1"/>
          <w:lang w:eastAsia="en-GB"/>
        </w:rPr>
        <w:t xml:space="preserve"> now 100 points.  No bonus points available.</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4. Priority Elements:</w:t>
      </w:r>
    </w:p>
    <w:p w:rsidR="004E7507" w:rsidRPr="004E7507" w:rsidRDefault="004E7507" w:rsidP="004E7507">
      <w:pPr>
        <w:shd w:val="clear" w:color="auto" w:fill="FFFFFF"/>
        <w:spacing w:after="288"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The codes have defined three priority elements:</w:t>
      </w:r>
    </w:p>
    <w:p w:rsidR="004E7507" w:rsidRPr="004E7507" w:rsidRDefault="004E7507" w:rsidP="004E7507">
      <w:pPr>
        <w:numPr>
          <w:ilvl w:val="0"/>
          <w:numId w:val="2"/>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Ownership</w:t>
      </w:r>
    </w:p>
    <w:p w:rsidR="004E7507" w:rsidRPr="004E7507" w:rsidRDefault="004E7507" w:rsidP="004E7507">
      <w:pPr>
        <w:numPr>
          <w:ilvl w:val="0"/>
          <w:numId w:val="2"/>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Skills development</w:t>
      </w:r>
    </w:p>
    <w:p w:rsidR="004E7507" w:rsidRPr="004E7507" w:rsidRDefault="004E7507" w:rsidP="004E7507">
      <w:pPr>
        <w:numPr>
          <w:ilvl w:val="0"/>
          <w:numId w:val="2"/>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Enterprise and Supplier Development</w:t>
      </w:r>
    </w:p>
    <w:p w:rsidR="004E7507" w:rsidRPr="004E7507" w:rsidRDefault="004E7507" w:rsidP="004E7507">
      <w:pPr>
        <w:shd w:val="clear" w:color="auto" w:fill="FFFFFF"/>
        <w:spacing w:after="288"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lastRenderedPageBreak/>
        <w:t>A QSE must achieve 40% of the points for two of the three priority elements, with Ownership being a compulsory one. Non-compliance with the thresholds for the above priority elements will result in the discounting by one level on the QSE scorecard.  Discounting can only be applied once.</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5. Changes to Elements</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Ownership</w:t>
      </w:r>
    </w:p>
    <w:p w:rsidR="004E7507" w:rsidRPr="004E7507" w:rsidRDefault="004E7507" w:rsidP="004E7507">
      <w:pPr>
        <w:numPr>
          <w:ilvl w:val="0"/>
          <w:numId w:val="3"/>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An enterprise must achieve at least 40% of the net value targets in order to comply with the priority element requirements.  If they do not, they drop by 1 level.  This equates to a minimum 10% black shareholding status.</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Management Control</w:t>
      </w:r>
    </w:p>
    <w:p w:rsidR="004E7507" w:rsidRPr="004E7507" w:rsidRDefault="004E7507" w:rsidP="004E7507">
      <w:pPr>
        <w:numPr>
          <w:ilvl w:val="0"/>
          <w:numId w:val="4"/>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 xml:space="preserve">Incorporates the measurement of </w:t>
      </w:r>
      <w:proofErr w:type="gramStart"/>
      <w:r w:rsidRPr="004E7507">
        <w:rPr>
          <w:rFonts w:ascii="Helvetica" w:eastAsia="Times New Roman" w:hAnsi="Helvetica" w:cs="Helvetica"/>
          <w:color w:val="555555"/>
          <w:sz w:val="23"/>
          <w:szCs w:val="23"/>
          <w:lang w:eastAsia="en-GB"/>
        </w:rPr>
        <w:t>Senior</w:t>
      </w:r>
      <w:proofErr w:type="gramEnd"/>
      <w:r w:rsidRPr="004E7507">
        <w:rPr>
          <w:rFonts w:ascii="Helvetica" w:eastAsia="Times New Roman" w:hAnsi="Helvetica" w:cs="Helvetica"/>
          <w:color w:val="555555"/>
          <w:sz w:val="23"/>
          <w:szCs w:val="23"/>
          <w:lang w:eastAsia="en-GB"/>
        </w:rPr>
        <w:t>, Middle and Junior management as well.</w:t>
      </w:r>
    </w:p>
    <w:p w:rsidR="004E7507" w:rsidRPr="004E7507" w:rsidRDefault="004E7507" w:rsidP="004E7507">
      <w:pPr>
        <w:numPr>
          <w:ilvl w:val="0"/>
          <w:numId w:val="4"/>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Specific indicators introduced for the measurement of female participation in management positions.</w:t>
      </w:r>
    </w:p>
    <w:p w:rsidR="004E7507" w:rsidRPr="004E7507" w:rsidRDefault="004E7507" w:rsidP="004E7507">
      <w:pPr>
        <w:numPr>
          <w:ilvl w:val="0"/>
          <w:numId w:val="4"/>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The demographic targets as per the Large Enterprise scorecard do not apply to QSEs.</w:t>
      </w:r>
    </w:p>
    <w:p w:rsidR="004E7507" w:rsidRPr="004E7507" w:rsidRDefault="004E7507" w:rsidP="004E7507">
      <w:pPr>
        <w:numPr>
          <w:ilvl w:val="0"/>
          <w:numId w:val="4"/>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Adjustment for Gender calculation (ARG) is no longer applied. The black percentage is calculated as a percentage of total population.</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Skills Development</w:t>
      </w:r>
    </w:p>
    <w:p w:rsidR="004E7507" w:rsidRPr="004E7507" w:rsidRDefault="004E7507" w:rsidP="004E7507">
      <w:pPr>
        <w:numPr>
          <w:ilvl w:val="0"/>
          <w:numId w:val="5"/>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Is an optional priority element.  40% of the points must be achieved or the company drops 1 BEE level.</w:t>
      </w:r>
    </w:p>
    <w:p w:rsidR="004E7507" w:rsidRPr="004E7507" w:rsidRDefault="004E7507" w:rsidP="004E7507">
      <w:pPr>
        <w:numPr>
          <w:ilvl w:val="0"/>
          <w:numId w:val="5"/>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 xml:space="preserve">Compliance with the SETA requirements (Workplace Skills Plan, Annual Training Report, Pivotal Report </w:t>
      </w:r>
      <w:proofErr w:type="spellStart"/>
      <w:r w:rsidRPr="004E7507">
        <w:rPr>
          <w:rFonts w:ascii="Helvetica" w:eastAsia="Times New Roman" w:hAnsi="Helvetica" w:cs="Helvetica"/>
          <w:color w:val="555555"/>
          <w:sz w:val="23"/>
          <w:szCs w:val="23"/>
          <w:lang w:eastAsia="en-GB"/>
        </w:rPr>
        <w:t>amd</w:t>
      </w:r>
      <w:proofErr w:type="spellEnd"/>
      <w:r w:rsidRPr="004E7507">
        <w:rPr>
          <w:rFonts w:ascii="Helvetica" w:eastAsia="Times New Roman" w:hAnsi="Helvetica" w:cs="Helvetica"/>
          <w:color w:val="555555"/>
          <w:sz w:val="23"/>
          <w:szCs w:val="23"/>
          <w:lang w:eastAsia="en-GB"/>
        </w:rPr>
        <w:t xml:space="preserve"> Priority Skills Programme) </w:t>
      </w:r>
      <w:proofErr w:type="gramStart"/>
      <w:r w:rsidRPr="004E7507">
        <w:rPr>
          <w:rFonts w:ascii="Helvetica" w:eastAsia="Times New Roman" w:hAnsi="Helvetica" w:cs="Helvetica"/>
          <w:color w:val="555555"/>
          <w:sz w:val="23"/>
          <w:szCs w:val="23"/>
          <w:lang w:eastAsia="en-GB"/>
        </w:rPr>
        <w:t>are</w:t>
      </w:r>
      <w:proofErr w:type="gramEnd"/>
      <w:r w:rsidRPr="004E7507">
        <w:rPr>
          <w:rFonts w:ascii="Helvetica" w:eastAsia="Times New Roman" w:hAnsi="Helvetica" w:cs="Helvetica"/>
          <w:color w:val="555555"/>
          <w:sz w:val="23"/>
          <w:szCs w:val="23"/>
          <w:lang w:eastAsia="en-GB"/>
        </w:rPr>
        <w:t xml:space="preserve"> pre-requisites for an entity to receive any points in this element.</w:t>
      </w:r>
    </w:p>
    <w:p w:rsidR="004E7507" w:rsidRPr="004E7507" w:rsidRDefault="004E7507" w:rsidP="004E7507">
      <w:pPr>
        <w:numPr>
          <w:ilvl w:val="0"/>
          <w:numId w:val="5"/>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Training is not limited to employees – it can apply to any black person.</w:t>
      </w:r>
    </w:p>
    <w:p w:rsidR="004E7507" w:rsidRPr="004E7507" w:rsidRDefault="004E7507" w:rsidP="004E7507">
      <w:pPr>
        <w:numPr>
          <w:ilvl w:val="0"/>
          <w:numId w:val="5"/>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The demographic targets as per the Large Enterprise scorecard do not apply to QSEs.</w:t>
      </w:r>
    </w:p>
    <w:p w:rsidR="004E7507" w:rsidRPr="004E7507" w:rsidRDefault="004E7507" w:rsidP="004E7507">
      <w:pPr>
        <w:numPr>
          <w:ilvl w:val="0"/>
          <w:numId w:val="5"/>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 xml:space="preserve">Adjustment for Gender calculation (ARG) is no longer applied. The black percentage is calculated as a percentage of total training </w:t>
      </w:r>
      <w:proofErr w:type="gramStart"/>
      <w:r w:rsidRPr="004E7507">
        <w:rPr>
          <w:rFonts w:ascii="Helvetica" w:eastAsia="Times New Roman" w:hAnsi="Helvetica" w:cs="Helvetica"/>
          <w:color w:val="555555"/>
          <w:sz w:val="23"/>
          <w:szCs w:val="23"/>
          <w:lang w:eastAsia="en-GB"/>
        </w:rPr>
        <w:t>spend</w:t>
      </w:r>
      <w:proofErr w:type="gramEnd"/>
      <w:r w:rsidRPr="004E7507">
        <w:rPr>
          <w:rFonts w:ascii="Helvetica" w:eastAsia="Times New Roman" w:hAnsi="Helvetica" w:cs="Helvetica"/>
          <w:color w:val="555555"/>
          <w:sz w:val="23"/>
          <w:szCs w:val="23"/>
          <w:lang w:eastAsia="en-GB"/>
        </w:rPr>
        <w:t>.</w:t>
      </w:r>
    </w:p>
    <w:p w:rsidR="004E7507" w:rsidRPr="004E7507" w:rsidRDefault="004E7507" w:rsidP="004E7507">
      <w:pPr>
        <w:numPr>
          <w:ilvl w:val="0"/>
          <w:numId w:val="5"/>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lastRenderedPageBreak/>
        <w:t>Category F and G learning programmes (informal on-the-job training) is limited to a maximum of 15% of total training spend.</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Enterprise and Supplier Development</w:t>
      </w:r>
    </w:p>
    <w:p w:rsidR="004E7507" w:rsidRPr="004E7507" w:rsidRDefault="004E7507" w:rsidP="004E7507">
      <w:pPr>
        <w:numPr>
          <w:ilvl w:val="0"/>
          <w:numId w:val="6"/>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Is an optional priority element.  40% of the points must be achieved or the company drops 1 BEE level.</w:t>
      </w:r>
    </w:p>
    <w:p w:rsidR="004E7507" w:rsidRPr="004E7507" w:rsidRDefault="004E7507" w:rsidP="004E7507">
      <w:pPr>
        <w:numPr>
          <w:ilvl w:val="0"/>
          <w:numId w:val="6"/>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Measures Procurement as well as Supplier and Enterprise Development together in 1 element.</w:t>
      </w:r>
    </w:p>
    <w:p w:rsidR="004E7507" w:rsidRPr="004E7507" w:rsidRDefault="004E7507" w:rsidP="004E7507">
      <w:pPr>
        <w:numPr>
          <w:ilvl w:val="0"/>
          <w:numId w:val="6"/>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 xml:space="preserve">In order for suppliers to qualify for BEE </w:t>
      </w:r>
      <w:proofErr w:type="gramStart"/>
      <w:r w:rsidRPr="004E7507">
        <w:rPr>
          <w:rFonts w:ascii="Helvetica" w:eastAsia="Times New Roman" w:hAnsi="Helvetica" w:cs="Helvetica"/>
          <w:color w:val="555555"/>
          <w:sz w:val="23"/>
          <w:szCs w:val="23"/>
          <w:lang w:eastAsia="en-GB"/>
        </w:rPr>
        <w:t>spend</w:t>
      </w:r>
      <w:proofErr w:type="gramEnd"/>
      <w:r w:rsidRPr="004E7507">
        <w:rPr>
          <w:rFonts w:ascii="Helvetica" w:eastAsia="Times New Roman" w:hAnsi="Helvetica" w:cs="Helvetica"/>
          <w:color w:val="555555"/>
          <w:sz w:val="23"/>
          <w:szCs w:val="23"/>
          <w:lang w:eastAsia="en-GB"/>
        </w:rPr>
        <w:t>, they must be an “Empowering supplier”.</w:t>
      </w:r>
    </w:p>
    <w:p w:rsidR="004E7507" w:rsidRPr="004E7507" w:rsidRDefault="004E7507" w:rsidP="004E7507">
      <w:pPr>
        <w:numPr>
          <w:ilvl w:val="0"/>
          <w:numId w:val="6"/>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Targeting specific enterprise development to suppliers.</w:t>
      </w:r>
    </w:p>
    <w:p w:rsidR="004E7507" w:rsidRPr="004E7507" w:rsidRDefault="004E7507" w:rsidP="004E7507">
      <w:pPr>
        <w:numPr>
          <w:ilvl w:val="0"/>
          <w:numId w:val="6"/>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No cumulative contributions are allowed</w:t>
      </w:r>
      <w:proofErr w:type="gramStart"/>
      <w:r w:rsidRPr="004E7507">
        <w:rPr>
          <w:rFonts w:ascii="Helvetica" w:eastAsia="Times New Roman" w:hAnsi="Helvetica" w:cs="Helvetica"/>
          <w:color w:val="555555"/>
          <w:sz w:val="23"/>
          <w:szCs w:val="23"/>
          <w:lang w:eastAsia="en-GB"/>
        </w:rPr>
        <w:t>,  only</w:t>
      </w:r>
      <w:proofErr w:type="gramEnd"/>
      <w:r w:rsidRPr="004E7507">
        <w:rPr>
          <w:rFonts w:ascii="Helvetica" w:eastAsia="Times New Roman" w:hAnsi="Helvetica" w:cs="Helvetica"/>
          <w:color w:val="555555"/>
          <w:sz w:val="23"/>
          <w:szCs w:val="23"/>
          <w:lang w:eastAsia="en-GB"/>
        </w:rPr>
        <w:t xml:space="preserve"> annual contributions.</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Socio Economic Development</w:t>
      </w:r>
    </w:p>
    <w:p w:rsidR="004E7507" w:rsidRPr="004E7507" w:rsidRDefault="004E7507" w:rsidP="004E7507">
      <w:pPr>
        <w:numPr>
          <w:ilvl w:val="0"/>
          <w:numId w:val="7"/>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Minimal change, however emphasis is placed on job creation and giving sustainable access to the economy.</w:t>
      </w:r>
    </w:p>
    <w:p w:rsidR="004E7507" w:rsidRPr="004E7507" w:rsidRDefault="004E7507" w:rsidP="004E7507">
      <w:pPr>
        <w:numPr>
          <w:ilvl w:val="0"/>
          <w:numId w:val="7"/>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No cumulative contributions allowed</w:t>
      </w:r>
      <w:proofErr w:type="gramStart"/>
      <w:r w:rsidRPr="004E7507">
        <w:rPr>
          <w:rFonts w:ascii="Helvetica" w:eastAsia="Times New Roman" w:hAnsi="Helvetica" w:cs="Helvetica"/>
          <w:color w:val="555555"/>
          <w:sz w:val="23"/>
          <w:szCs w:val="23"/>
          <w:lang w:eastAsia="en-GB"/>
        </w:rPr>
        <w:t>,  only</w:t>
      </w:r>
      <w:proofErr w:type="gramEnd"/>
      <w:r w:rsidRPr="004E7507">
        <w:rPr>
          <w:rFonts w:ascii="Helvetica" w:eastAsia="Times New Roman" w:hAnsi="Helvetica" w:cs="Helvetica"/>
          <w:color w:val="555555"/>
          <w:sz w:val="23"/>
          <w:szCs w:val="23"/>
          <w:lang w:eastAsia="en-GB"/>
        </w:rPr>
        <w:t xml:space="preserve"> annual contributions.</w:t>
      </w:r>
    </w:p>
    <w:p w:rsidR="004E7507" w:rsidRPr="004E7507" w:rsidRDefault="004E7507" w:rsidP="004E7507">
      <w:pPr>
        <w:numPr>
          <w:ilvl w:val="0"/>
          <w:numId w:val="7"/>
        </w:numPr>
        <w:spacing w:after="225" w:line="338" w:lineRule="atLeast"/>
        <w:ind w:left="0"/>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Carries 5 points in the scorecard, compared to 25 points in the 2007 Codes.</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Adjusted Generic Scorecard</w:t>
      </w:r>
      <w:r w:rsidRPr="004E7507">
        <w:rPr>
          <w:rFonts w:ascii="Helvetica" w:eastAsia="Times New Roman" w:hAnsi="Helvetica" w:cs="Helvetica"/>
          <w:color w:val="555555"/>
          <w:sz w:val="23"/>
          <w:szCs w:val="23"/>
          <w:lang w:eastAsia="en-GB"/>
        </w:rPr>
        <w:br/>
        <w:t xml:space="preserve">The adjusted scorecard is applicable to organisations where Ownership cannot be assessed </w:t>
      </w:r>
      <w:proofErr w:type="spellStart"/>
      <w:r w:rsidRPr="004E7507">
        <w:rPr>
          <w:rFonts w:ascii="Helvetica" w:eastAsia="Times New Roman" w:hAnsi="Helvetica" w:cs="Helvetica"/>
          <w:color w:val="555555"/>
          <w:sz w:val="23"/>
          <w:szCs w:val="23"/>
          <w:lang w:eastAsia="en-GB"/>
        </w:rPr>
        <w:t>eg</w:t>
      </w:r>
      <w:proofErr w:type="spellEnd"/>
      <w:r w:rsidRPr="004E7507">
        <w:rPr>
          <w:rFonts w:ascii="Helvetica" w:eastAsia="Times New Roman" w:hAnsi="Helvetica" w:cs="Helvetica"/>
          <w:color w:val="555555"/>
          <w:sz w:val="23"/>
          <w:szCs w:val="23"/>
          <w:lang w:eastAsia="en-GB"/>
        </w:rPr>
        <w:t xml:space="preserve">. </w:t>
      </w:r>
      <w:proofErr w:type="gramStart"/>
      <w:r w:rsidRPr="004E7507">
        <w:rPr>
          <w:rFonts w:ascii="Helvetica" w:eastAsia="Times New Roman" w:hAnsi="Helvetica" w:cs="Helvetica"/>
          <w:color w:val="555555"/>
          <w:sz w:val="23"/>
          <w:szCs w:val="23"/>
          <w:lang w:eastAsia="en-GB"/>
        </w:rPr>
        <w:t>Public entities, higher education institutions, non-profit organisations, etc.</w:t>
      </w:r>
      <w:proofErr w:type="gramEnd"/>
      <w:r w:rsidRPr="004E7507">
        <w:rPr>
          <w:rFonts w:ascii="Helvetica" w:eastAsia="Times New Roman" w:hAnsi="Helvetica" w:cs="Helvetica"/>
          <w:color w:val="555555"/>
          <w:sz w:val="23"/>
          <w:szCs w:val="23"/>
          <w:lang w:eastAsia="en-GB"/>
        </w:rPr>
        <w:t>  The Amended adjusted scorecard has changes as follows:</w:t>
      </w:r>
    </w:p>
    <w:tbl>
      <w:tblPr>
        <w:tblW w:w="1527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4758"/>
        <w:gridCol w:w="2851"/>
        <w:gridCol w:w="4990"/>
        <w:gridCol w:w="2671"/>
      </w:tblGrid>
      <w:tr w:rsidR="004E7507" w:rsidRPr="004E7507" w:rsidTr="004E7507">
        <w:trPr>
          <w:tblCellSpacing w:w="0" w:type="dxa"/>
        </w:trPr>
        <w:tc>
          <w:tcPr>
            <w:tcW w:w="3888" w:type="dxa"/>
            <w:gridSpan w:val="2"/>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2007 Codes of Good Practice</w:t>
            </w:r>
          </w:p>
        </w:tc>
        <w:tc>
          <w:tcPr>
            <w:tcW w:w="3924" w:type="dxa"/>
            <w:gridSpan w:val="2"/>
            <w:tcBorders>
              <w:top w:val="outset" w:sz="2" w:space="0" w:color="auto"/>
              <w:left w:val="outset" w:sz="2" w:space="0" w:color="auto"/>
              <w:bottom w:val="single" w:sz="6" w:space="0" w:color="CCCCCC"/>
              <w:right w:val="outset" w:sz="2" w:space="0" w:color="auto"/>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Amended Codes of Good Practice October 2014</w:t>
            </w:r>
          </w:p>
        </w:tc>
      </w:tr>
      <w:tr w:rsidR="004E7507" w:rsidRPr="004E7507" w:rsidTr="004E7507">
        <w:trPr>
          <w:tblCellSpacing w:w="0" w:type="dxa"/>
        </w:trPr>
        <w:tc>
          <w:tcPr>
            <w:tcW w:w="2436"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Elements</w:t>
            </w:r>
          </w:p>
        </w:tc>
        <w:tc>
          <w:tcPr>
            <w:tcW w:w="1452"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Points</w:t>
            </w:r>
          </w:p>
        </w:tc>
        <w:tc>
          <w:tcPr>
            <w:tcW w:w="2556"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Elements</w:t>
            </w:r>
          </w:p>
        </w:tc>
        <w:tc>
          <w:tcPr>
            <w:tcW w:w="1356" w:type="dxa"/>
            <w:tcBorders>
              <w:top w:val="outset" w:sz="2" w:space="0" w:color="auto"/>
              <w:left w:val="outset" w:sz="2" w:space="0" w:color="auto"/>
              <w:bottom w:val="single" w:sz="6" w:space="0" w:color="CCCCCC"/>
              <w:right w:val="outset" w:sz="2" w:space="0" w:color="auto"/>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Points</w:t>
            </w:r>
          </w:p>
        </w:tc>
      </w:tr>
      <w:tr w:rsidR="004E7507" w:rsidRPr="004E7507" w:rsidTr="004E7507">
        <w:trPr>
          <w:tblCellSpacing w:w="0" w:type="dxa"/>
        </w:trPr>
        <w:tc>
          <w:tcPr>
            <w:tcW w:w="243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lastRenderedPageBreak/>
              <w:t>Management Control</w:t>
            </w:r>
          </w:p>
        </w:tc>
        <w:tc>
          <w:tcPr>
            <w:tcW w:w="1452"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15</w:t>
            </w:r>
          </w:p>
        </w:tc>
        <w:tc>
          <w:tcPr>
            <w:tcW w:w="2556" w:type="dxa"/>
            <w:vMerge w:val="restart"/>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Management Control</w:t>
            </w:r>
          </w:p>
        </w:tc>
        <w:tc>
          <w:tcPr>
            <w:tcW w:w="1356" w:type="dxa"/>
            <w:vMerge w:val="restart"/>
            <w:tcBorders>
              <w:top w:val="outset" w:sz="2" w:space="0" w:color="auto"/>
              <w:left w:val="outset" w:sz="2" w:space="0" w:color="auto"/>
              <w:bottom w:val="single" w:sz="6" w:space="0" w:color="CCCCCC"/>
              <w:right w:val="outset" w:sz="2" w:space="0" w:color="auto"/>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20</w:t>
            </w:r>
          </w:p>
        </w:tc>
      </w:tr>
      <w:tr w:rsidR="004E7507" w:rsidRPr="004E7507" w:rsidTr="004E7507">
        <w:trPr>
          <w:tblCellSpacing w:w="0" w:type="dxa"/>
        </w:trPr>
        <w:tc>
          <w:tcPr>
            <w:tcW w:w="243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Employment Equity</w:t>
            </w:r>
          </w:p>
        </w:tc>
        <w:tc>
          <w:tcPr>
            <w:tcW w:w="1452"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15</w:t>
            </w:r>
          </w:p>
        </w:tc>
        <w:tc>
          <w:tcPr>
            <w:tcW w:w="0" w:type="auto"/>
            <w:vMerge/>
            <w:tcBorders>
              <w:top w:val="outset" w:sz="2" w:space="0" w:color="auto"/>
              <w:left w:val="outset" w:sz="2" w:space="0" w:color="auto"/>
              <w:bottom w:val="single" w:sz="6" w:space="0" w:color="CCCCCC"/>
              <w:right w:val="dotted" w:sz="6" w:space="0" w:color="CCCCCC"/>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c>
          <w:tcPr>
            <w:tcW w:w="0" w:type="auto"/>
            <w:vMerge/>
            <w:tcBorders>
              <w:top w:val="outset" w:sz="2" w:space="0" w:color="auto"/>
              <w:left w:val="outset" w:sz="2" w:space="0" w:color="auto"/>
              <w:bottom w:val="single" w:sz="6" w:space="0" w:color="CCCCCC"/>
              <w:right w:val="outset" w:sz="2" w:space="0" w:color="auto"/>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r>
      <w:tr w:rsidR="004E7507" w:rsidRPr="004E7507" w:rsidTr="004E7507">
        <w:trPr>
          <w:tblCellSpacing w:w="0" w:type="dxa"/>
        </w:trPr>
        <w:tc>
          <w:tcPr>
            <w:tcW w:w="243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Skills Development</w:t>
            </w:r>
          </w:p>
        </w:tc>
        <w:tc>
          <w:tcPr>
            <w:tcW w:w="1452"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20</w:t>
            </w:r>
          </w:p>
        </w:tc>
        <w:tc>
          <w:tcPr>
            <w:tcW w:w="2556" w:type="dxa"/>
            <w:tcBorders>
              <w:top w:val="outset" w:sz="2" w:space="0" w:color="auto"/>
              <w:left w:val="outset" w:sz="2" w:space="0" w:color="auto"/>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Skills Development</w:t>
            </w:r>
          </w:p>
        </w:tc>
        <w:tc>
          <w:tcPr>
            <w:tcW w:w="1356" w:type="dxa"/>
            <w:tcBorders>
              <w:top w:val="outset" w:sz="2" w:space="0" w:color="auto"/>
              <w:left w:val="outset" w:sz="2" w:space="0" w:color="auto"/>
              <w:bottom w:val="single" w:sz="6" w:space="0" w:color="CCCCCC"/>
              <w:right w:val="outset" w:sz="2" w:space="0" w:color="auto"/>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25</w:t>
            </w:r>
          </w:p>
        </w:tc>
      </w:tr>
      <w:tr w:rsidR="004E7507" w:rsidRPr="004E7507" w:rsidTr="004E7507">
        <w:trPr>
          <w:tblCellSpacing w:w="0" w:type="dxa"/>
        </w:trPr>
        <w:tc>
          <w:tcPr>
            <w:tcW w:w="243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Preferential Procurement</w:t>
            </w:r>
          </w:p>
        </w:tc>
        <w:tc>
          <w:tcPr>
            <w:tcW w:w="1452"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20</w:t>
            </w:r>
          </w:p>
        </w:tc>
        <w:tc>
          <w:tcPr>
            <w:tcW w:w="2556" w:type="dxa"/>
            <w:vMerge w:val="restart"/>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Enterprise and Supplier Development</w:t>
            </w:r>
          </w:p>
        </w:tc>
        <w:tc>
          <w:tcPr>
            <w:tcW w:w="1356" w:type="dxa"/>
            <w:vMerge w:val="restart"/>
            <w:tcBorders>
              <w:top w:val="outset" w:sz="2" w:space="0" w:color="auto"/>
              <w:left w:val="outset" w:sz="2" w:space="0" w:color="auto"/>
              <w:bottom w:val="single" w:sz="6" w:space="0" w:color="CCCCCC"/>
              <w:right w:val="outset" w:sz="2" w:space="0" w:color="auto"/>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50</w:t>
            </w:r>
          </w:p>
        </w:tc>
      </w:tr>
      <w:tr w:rsidR="004E7507" w:rsidRPr="004E7507" w:rsidTr="004E7507">
        <w:trPr>
          <w:tblCellSpacing w:w="0" w:type="dxa"/>
        </w:trPr>
        <w:tc>
          <w:tcPr>
            <w:tcW w:w="2436"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Enterprise Development</w:t>
            </w:r>
          </w:p>
        </w:tc>
        <w:tc>
          <w:tcPr>
            <w:tcW w:w="1452"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15</w:t>
            </w:r>
          </w:p>
        </w:tc>
        <w:tc>
          <w:tcPr>
            <w:tcW w:w="0" w:type="auto"/>
            <w:vMerge/>
            <w:tcBorders>
              <w:top w:val="outset" w:sz="2" w:space="0" w:color="auto"/>
              <w:left w:val="outset" w:sz="2" w:space="0" w:color="auto"/>
              <w:bottom w:val="single" w:sz="6" w:space="0" w:color="CCCCCC"/>
              <w:right w:val="dotted" w:sz="6" w:space="0" w:color="CCCCCC"/>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c>
          <w:tcPr>
            <w:tcW w:w="0" w:type="auto"/>
            <w:vMerge/>
            <w:tcBorders>
              <w:top w:val="outset" w:sz="2" w:space="0" w:color="auto"/>
              <w:left w:val="outset" w:sz="2" w:space="0" w:color="auto"/>
              <w:bottom w:val="single" w:sz="6" w:space="0" w:color="CCCCCC"/>
              <w:right w:val="outset" w:sz="2" w:space="0" w:color="auto"/>
            </w:tcBorders>
            <w:shd w:val="clear" w:color="auto" w:fill="auto"/>
            <w:vAlign w:val="bottom"/>
            <w:hideMark/>
          </w:tcPr>
          <w:p w:rsidR="004E7507" w:rsidRPr="004E7507" w:rsidRDefault="004E7507" w:rsidP="004E7507">
            <w:pPr>
              <w:spacing w:after="0" w:line="240" w:lineRule="auto"/>
              <w:rPr>
                <w:rFonts w:ascii="Helvetica" w:eastAsia="Times New Roman" w:hAnsi="Helvetica" w:cs="Helvetica"/>
                <w:color w:val="555555"/>
                <w:sz w:val="23"/>
                <w:szCs w:val="23"/>
                <w:lang w:eastAsia="en-GB"/>
              </w:rPr>
            </w:pPr>
          </w:p>
        </w:tc>
      </w:tr>
      <w:tr w:rsidR="004E7507" w:rsidRPr="004E7507" w:rsidTr="004E7507">
        <w:trPr>
          <w:tblCellSpacing w:w="0" w:type="dxa"/>
        </w:trPr>
        <w:tc>
          <w:tcPr>
            <w:tcW w:w="2436"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Socio-Economic Development</w:t>
            </w:r>
          </w:p>
        </w:tc>
        <w:tc>
          <w:tcPr>
            <w:tcW w:w="1452"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15</w:t>
            </w:r>
          </w:p>
        </w:tc>
        <w:tc>
          <w:tcPr>
            <w:tcW w:w="2556" w:type="dxa"/>
            <w:tcBorders>
              <w:top w:val="outset" w:sz="2" w:space="0" w:color="auto"/>
              <w:left w:val="outset" w:sz="2" w:space="0" w:color="auto"/>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Socio-Economic Development</w:t>
            </w:r>
          </w:p>
        </w:tc>
        <w:tc>
          <w:tcPr>
            <w:tcW w:w="1356" w:type="dxa"/>
            <w:tcBorders>
              <w:top w:val="outset" w:sz="2" w:space="0" w:color="auto"/>
              <w:left w:val="outset" w:sz="2" w:space="0" w:color="auto"/>
              <w:bottom w:val="single" w:sz="6" w:space="0" w:color="CCCCCC"/>
              <w:right w:val="outset" w:sz="2" w:space="0" w:color="auto"/>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5</w:t>
            </w:r>
          </w:p>
        </w:tc>
      </w:tr>
      <w:tr w:rsidR="004E7507" w:rsidRPr="004E7507" w:rsidTr="004E7507">
        <w:trPr>
          <w:tblCellSpacing w:w="0" w:type="dxa"/>
        </w:trPr>
        <w:tc>
          <w:tcPr>
            <w:tcW w:w="2436" w:type="dxa"/>
            <w:tcBorders>
              <w:top w:val="outset" w:sz="2" w:space="0" w:color="auto"/>
              <w:left w:val="outset" w:sz="2" w:space="0" w:color="auto"/>
              <w:bottom w:val="outset" w:sz="2" w:space="0" w:color="auto"/>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Total</w:t>
            </w:r>
          </w:p>
        </w:tc>
        <w:tc>
          <w:tcPr>
            <w:tcW w:w="1452" w:type="dxa"/>
            <w:tcBorders>
              <w:top w:val="outset" w:sz="2" w:space="0" w:color="auto"/>
              <w:left w:val="outset" w:sz="2" w:space="0" w:color="auto"/>
              <w:bottom w:val="outset" w:sz="2" w:space="0" w:color="auto"/>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100</w:t>
            </w:r>
          </w:p>
        </w:tc>
        <w:tc>
          <w:tcPr>
            <w:tcW w:w="2556" w:type="dxa"/>
            <w:tcBorders>
              <w:top w:val="outset" w:sz="2" w:space="0" w:color="auto"/>
              <w:left w:val="outset" w:sz="2" w:space="0" w:color="auto"/>
              <w:bottom w:val="outset" w:sz="2" w:space="0" w:color="auto"/>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Total</w:t>
            </w:r>
          </w:p>
        </w:tc>
        <w:tc>
          <w:tcPr>
            <w:tcW w:w="1356" w:type="dxa"/>
            <w:tcBorders>
              <w:top w:val="nil"/>
              <w:left w:val="nil"/>
              <w:bottom w:val="nil"/>
              <w:right w:val="nil"/>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100</w:t>
            </w:r>
          </w:p>
        </w:tc>
      </w:tr>
    </w:tbl>
    <w:p w:rsidR="004E7507" w:rsidRPr="004E7507" w:rsidRDefault="004E7507" w:rsidP="004E7507">
      <w:pPr>
        <w:shd w:val="clear" w:color="auto" w:fill="FFFFFF"/>
        <w:spacing w:after="288"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To refresh, please take not of the amended thresholds and qualification criteria below, which will have a marked impact on future BEE levels:</w:t>
      </w:r>
    </w:p>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proofErr w:type="gramStart"/>
      <w:r w:rsidRPr="004E7507">
        <w:rPr>
          <w:rFonts w:ascii="Helvetica" w:eastAsia="Times New Roman" w:hAnsi="Helvetica" w:cs="Helvetica"/>
          <w:b/>
          <w:bCs/>
          <w:color w:val="555555"/>
          <w:sz w:val="23"/>
          <w:szCs w:val="23"/>
          <w:bdr w:val="none" w:sz="0" w:space="0" w:color="auto" w:frame="1"/>
          <w:lang w:eastAsia="en-GB"/>
        </w:rPr>
        <w:t>Increased thresholds for EME, QSE, and Generic scorecards.</w:t>
      </w:r>
      <w:proofErr w:type="gramEnd"/>
    </w:p>
    <w:tbl>
      <w:tblPr>
        <w:tblW w:w="1527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404"/>
        <w:gridCol w:w="5841"/>
        <w:gridCol w:w="6025"/>
      </w:tblGrid>
      <w:tr w:rsidR="004E7507" w:rsidRPr="004E7507" w:rsidTr="004E7507">
        <w:trPr>
          <w:tblCellSpacing w:w="0" w:type="dxa"/>
        </w:trPr>
        <w:tc>
          <w:tcPr>
            <w:tcW w:w="1260" w:type="dxa"/>
            <w:tcBorders>
              <w:top w:val="nil"/>
              <w:left w:val="nil"/>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Category</w:t>
            </w:r>
          </w:p>
        </w:tc>
        <w:tc>
          <w:tcPr>
            <w:tcW w:w="2952" w:type="dxa"/>
            <w:tcBorders>
              <w:top w:val="nil"/>
              <w:left w:val="nil"/>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2007 Codes of Good Practice</w:t>
            </w:r>
          </w:p>
        </w:tc>
        <w:tc>
          <w:tcPr>
            <w:tcW w:w="3060" w:type="dxa"/>
            <w:tcBorders>
              <w:top w:val="nil"/>
              <w:left w:val="nil"/>
              <w:bottom w:val="single" w:sz="6" w:space="0" w:color="CCCCCC"/>
              <w:right w:val="nil"/>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Amended Codes of Good Practice 2013</w:t>
            </w:r>
          </w:p>
        </w:tc>
      </w:tr>
      <w:tr w:rsidR="004E7507" w:rsidRPr="004E7507" w:rsidTr="004E7507">
        <w:trPr>
          <w:tblCellSpacing w:w="0" w:type="dxa"/>
        </w:trPr>
        <w:tc>
          <w:tcPr>
            <w:tcW w:w="1260" w:type="dxa"/>
            <w:tcBorders>
              <w:top w:val="nil"/>
              <w:left w:val="nil"/>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EME</w:t>
            </w:r>
          </w:p>
        </w:tc>
        <w:tc>
          <w:tcPr>
            <w:tcW w:w="2952" w:type="dxa"/>
            <w:tcBorders>
              <w:top w:val="nil"/>
              <w:left w:val="nil"/>
              <w:bottom w:val="single" w:sz="6" w:space="0" w:color="CCCCCC"/>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Turnover ≤ R5 million</w:t>
            </w:r>
          </w:p>
        </w:tc>
        <w:tc>
          <w:tcPr>
            <w:tcW w:w="3060" w:type="dxa"/>
            <w:tcBorders>
              <w:top w:val="nil"/>
              <w:left w:val="nil"/>
              <w:bottom w:val="single" w:sz="6" w:space="0" w:color="CCCCCC"/>
              <w:right w:val="nil"/>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Turnover ≤ R10 million</w:t>
            </w:r>
          </w:p>
        </w:tc>
      </w:tr>
      <w:tr w:rsidR="004E7507" w:rsidRPr="004E7507" w:rsidTr="004E7507">
        <w:trPr>
          <w:tblCellSpacing w:w="0" w:type="dxa"/>
        </w:trPr>
        <w:tc>
          <w:tcPr>
            <w:tcW w:w="1260" w:type="dxa"/>
            <w:tcBorders>
              <w:top w:val="nil"/>
              <w:left w:val="nil"/>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lastRenderedPageBreak/>
              <w:t>QSE</w:t>
            </w:r>
          </w:p>
        </w:tc>
        <w:tc>
          <w:tcPr>
            <w:tcW w:w="2952" w:type="dxa"/>
            <w:tcBorders>
              <w:top w:val="nil"/>
              <w:left w:val="nil"/>
              <w:bottom w:val="single" w:sz="6" w:space="0" w:color="CCCCCC"/>
              <w:right w:val="dotted" w:sz="6" w:space="0" w:color="CCCCCC"/>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Turnover of R5-35 Million</w:t>
            </w:r>
          </w:p>
        </w:tc>
        <w:tc>
          <w:tcPr>
            <w:tcW w:w="3060" w:type="dxa"/>
            <w:tcBorders>
              <w:top w:val="nil"/>
              <w:left w:val="nil"/>
              <w:bottom w:val="single" w:sz="6" w:space="0" w:color="CCCCCC"/>
              <w:right w:val="nil"/>
            </w:tcBorders>
            <w:shd w:val="clear" w:color="auto" w:fill="auto"/>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Turnover of R10-50 Million</w:t>
            </w:r>
          </w:p>
        </w:tc>
      </w:tr>
      <w:tr w:rsidR="004E7507" w:rsidRPr="004E7507" w:rsidTr="004E7507">
        <w:trPr>
          <w:tblCellSpacing w:w="0" w:type="dxa"/>
        </w:trPr>
        <w:tc>
          <w:tcPr>
            <w:tcW w:w="1260" w:type="dxa"/>
            <w:tcBorders>
              <w:top w:val="nil"/>
              <w:left w:val="nil"/>
              <w:bottom w:val="nil"/>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GENERIC</w:t>
            </w:r>
          </w:p>
        </w:tc>
        <w:tc>
          <w:tcPr>
            <w:tcW w:w="2952" w:type="dxa"/>
            <w:tcBorders>
              <w:top w:val="nil"/>
              <w:left w:val="nil"/>
              <w:bottom w:val="nil"/>
              <w:right w:val="dotted" w:sz="6" w:space="0" w:color="CCCCCC"/>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Turnover &gt; R 35 Million</w:t>
            </w:r>
          </w:p>
        </w:tc>
        <w:tc>
          <w:tcPr>
            <w:tcW w:w="3060" w:type="dxa"/>
            <w:tcBorders>
              <w:top w:val="nil"/>
              <w:left w:val="nil"/>
              <w:bottom w:val="nil"/>
              <w:right w:val="nil"/>
            </w:tcBorders>
            <w:shd w:val="clear" w:color="auto" w:fill="FAFAFA"/>
            <w:noWrap/>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Turnover &gt; 50 Million</w:t>
            </w:r>
          </w:p>
        </w:tc>
      </w:tr>
    </w:tbl>
    <w:p w:rsidR="004E7507" w:rsidRPr="004E7507" w:rsidRDefault="004E7507" w:rsidP="004E7507">
      <w:pPr>
        <w:shd w:val="clear" w:color="auto" w:fill="FFFFFF"/>
        <w:spacing w:after="0" w:line="338" w:lineRule="atLeast"/>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Changes to BEE Recognition levels</w:t>
      </w:r>
    </w:p>
    <w:tbl>
      <w:tblPr>
        <w:tblW w:w="1527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258"/>
        <w:gridCol w:w="4052"/>
        <w:gridCol w:w="4052"/>
        <w:gridCol w:w="3908"/>
      </w:tblGrid>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BBBEE Status</w:t>
            </w:r>
          </w:p>
        </w:tc>
        <w:tc>
          <w:tcPr>
            <w:tcW w:w="204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2007 Qualification</w:t>
            </w:r>
          </w:p>
        </w:tc>
        <w:tc>
          <w:tcPr>
            <w:tcW w:w="1968"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Amended Qualification 2013</w:t>
            </w:r>
          </w:p>
        </w:tc>
        <w:tc>
          <w:tcPr>
            <w:tcW w:w="1656"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b/>
                <w:bCs/>
                <w:color w:val="555555"/>
                <w:sz w:val="23"/>
                <w:szCs w:val="23"/>
                <w:bdr w:val="none" w:sz="0" w:space="0" w:color="auto" w:frame="1"/>
                <w:lang w:eastAsia="en-GB"/>
              </w:rPr>
              <w:t>BBBEE Recognition Level</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Level 1</w:t>
            </w:r>
          </w:p>
        </w:tc>
        <w:tc>
          <w:tcPr>
            <w:tcW w:w="2040"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≥100 points</w:t>
            </w:r>
          </w:p>
        </w:tc>
        <w:tc>
          <w:tcPr>
            <w:tcW w:w="1968"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≥100 points</w:t>
            </w:r>
          </w:p>
        </w:tc>
        <w:tc>
          <w:tcPr>
            <w:tcW w:w="1656"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135%</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Level 2</w:t>
            </w:r>
          </w:p>
        </w:tc>
        <w:tc>
          <w:tcPr>
            <w:tcW w:w="204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≥85 points &lt;100</w:t>
            </w:r>
          </w:p>
        </w:tc>
        <w:tc>
          <w:tcPr>
            <w:tcW w:w="1968"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≥95 points &lt;100</w:t>
            </w:r>
          </w:p>
        </w:tc>
        <w:tc>
          <w:tcPr>
            <w:tcW w:w="1656"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125%</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Level 3</w:t>
            </w:r>
          </w:p>
        </w:tc>
        <w:tc>
          <w:tcPr>
            <w:tcW w:w="2040"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≥75 points &lt;85</w:t>
            </w:r>
          </w:p>
        </w:tc>
        <w:tc>
          <w:tcPr>
            <w:tcW w:w="1968"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≥90 points &lt;95</w:t>
            </w:r>
          </w:p>
        </w:tc>
        <w:tc>
          <w:tcPr>
            <w:tcW w:w="1656"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110%</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Level 4</w:t>
            </w:r>
          </w:p>
        </w:tc>
        <w:tc>
          <w:tcPr>
            <w:tcW w:w="204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≥65 points &lt;75</w:t>
            </w:r>
          </w:p>
        </w:tc>
        <w:tc>
          <w:tcPr>
            <w:tcW w:w="1968"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≥80 points &lt;90</w:t>
            </w:r>
          </w:p>
        </w:tc>
        <w:tc>
          <w:tcPr>
            <w:tcW w:w="1656"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100%</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Level 5</w:t>
            </w:r>
          </w:p>
        </w:tc>
        <w:tc>
          <w:tcPr>
            <w:tcW w:w="2040"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≥55 points &lt;65</w:t>
            </w:r>
          </w:p>
        </w:tc>
        <w:tc>
          <w:tcPr>
            <w:tcW w:w="1968"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≥75 points &lt;80</w:t>
            </w:r>
          </w:p>
        </w:tc>
        <w:tc>
          <w:tcPr>
            <w:tcW w:w="1656"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80%</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Level 6</w:t>
            </w:r>
          </w:p>
        </w:tc>
        <w:tc>
          <w:tcPr>
            <w:tcW w:w="204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≥45 points &lt;55</w:t>
            </w:r>
          </w:p>
        </w:tc>
        <w:tc>
          <w:tcPr>
            <w:tcW w:w="1968"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≥70 points &lt;75</w:t>
            </w:r>
          </w:p>
        </w:tc>
        <w:tc>
          <w:tcPr>
            <w:tcW w:w="1656"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60%</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Level 7</w:t>
            </w:r>
          </w:p>
        </w:tc>
        <w:tc>
          <w:tcPr>
            <w:tcW w:w="2040"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≥40 points &lt;45</w:t>
            </w:r>
          </w:p>
        </w:tc>
        <w:tc>
          <w:tcPr>
            <w:tcW w:w="1968" w:type="dxa"/>
            <w:tcBorders>
              <w:top w:val="outset" w:sz="2" w:space="0" w:color="auto"/>
              <w:left w:val="outset" w:sz="2" w:space="0" w:color="auto"/>
              <w:bottom w:val="single" w:sz="6" w:space="0" w:color="CCCCCC"/>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≥55 points &lt;70</w:t>
            </w:r>
          </w:p>
        </w:tc>
        <w:tc>
          <w:tcPr>
            <w:tcW w:w="1656" w:type="dxa"/>
            <w:tcBorders>
              <w:top w:val="outset" w:sz="2" w:space="0" w:color="auto"/>
              <w:left w:val="outset" w:sz="2" w:space="0" w:color="auto"/>
              <w:bottom w:val="single" w:sz="6" w:space="0" w:color="CCCCCC"/>
              <w:right w:val="outset" w:sz="2" w:space="0" w:color="auto"/>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50%</w:t>
            </w:r>
          </w:p>
        </w:tc>
      </w:tr>
      <w:tr w:rsidR="004E7507" w:rsidRPr="004E7507" w:rsidTr="004E7507">
        <w:trPr>
          <w:tblCellSpacing w:w="0" w:type="dxa"/>
        </w:trPr>
        <w:tc>
          <w:tcPr>
            <w:tcW w:w="1584"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lastRenderedPageBreak/>
              <w:t>Level 8</w:t>
            </w:r>
          </w:p>
        </w:tc>
        <w:tc>
          <w:tcPr>
            <w:tcW w:w="2040"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≥30 points &lt;40</w:t>
            </w:r>
          </w:p>
        </w:tc>
        <w:tc>
          <w:tcPr>
            <w:tcW w:w="1968" w:type="dxa"/>
            <w:tcBorders>
              <w:top w:val="outset" w:sz="2" w:space="0" w:color="auto"/>
              <w:left w:val="outset" w:sz="2" w:space="0" w:color="auto"/>
              <w:bottom w:val="single" w:sz="6" w:space="0" w:color="CCCCCC"/>
              <w:right w:val="dotted" w:sz="6" w:space="0" w:color="CCCCCC"/>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≥40 points &lt;55</w:t>
            </w:r>
          </w:p>
        </w:tc>
        <w:tc>
          <w:tcPr>
            <w:tcW w:w="1656" w:type="dxa"/>
            <w:tcBorders>
              <w:top w:val="outset" w:sz="2" w:space="0" w:color="auto"/>
              <w:left w:val="outset" w:sz="2" w:space="0" w:color="auto"/>
              <w:bottom w:val="single" w:sz="6" w:space="0" w:color="CCCCCC"/>
              <w:right w:val="outset" w:sz="2" w:space="0" w:color="auto"/>
            </w:tcBorders>
            <w:shd w:val="clear" w:color="auto" w:fill="auto"/>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10%</w:t>
            </w:r>
          </w:p>
        </w:tc>
      </w:tr>
      <w:tr w:rsidR="004E7507" w:rsidRPr="004E7507" w:rsidTr="004E7507">
        <w:trPr>
          <w:tblCellSpacing w:w="0" w:type="dxa"/>
        </w:trPr>
        <w:tc>
          <w:tcPr>
            <w:tcW w:w="1584" w:type="dxa"/>
            <w:tcBorders>
              <w:top w:val="outset" w:sz="2" w:space="0" w:color="auto"/>
              <w:left w:val="outset" w:sz="2" w:space="0" w:color="auto"/>
              <w:bottom w:val="outset" w:sz="2" w:space="0" w:color="auto"/>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38" w:lineRule="atLeast"/>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Non-compliant</w:t>
            </w:r>
          </w:p>
        </w:tc>
        <w:tc>
          <w:tcPr>
            <w:tcW w:w="2040" w:type="dxa"/>
            <w:tcBorders>
              <w:top w:val="outset" w:sz="2" w:space="0" w:color="auto"/>
              <w:left w:val="outset" w:sz="2" w:space="0" w:color="auto"/>
              <w:bottom w:val="outset" w:sz="2" w:space="0" w:color="auto"/>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&lt;30</w:t>
            </w:r>
          </w:p>
        </w:tc>
        <w:tc>
          <w:tcPr>
            <w:tcW w:w="1968" w:type="dxa"/>
            <w:tcBorders>
              <w:top w:val="outset" w:sz="2" w:space="0" w:color="auto"/>
              <w:left w:val="outset" w:sz="2" w:space="0" w:color="auto"/>
              <w:bottom w:val="outset" w:sz="2" w:space="0" w:color="auto"/>
              <w:right w:val="dotted" w:sz="6" w:space="0" w:color="CCCCCC"/>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&lt;40</w:t>
            </w:r>
          </w:p>
        </w:tc>
        <w:tc>
          <w:tcPr>
            <w:tcW w:w="1656" w:type="dxa"/>
            <w:tcBorders>
              <w:top w:val="nil"/>
              <w:left w:val="nil"/>
              <w:bottom w:val="nil"/>
              <w:right w:val="nil"/>
            </w:tcBorders>
            <w:shd w:val="clear" w:color="auto" w:fill="FAFAFA"/>
            <w:tcMar>
              <w:top w:w="206" w:type="dxa"/>
              <w:left w:w="333" w:type="dxa"/>
              <w:bottom w:w="206" w:type="dxa"/>
              <w:right w:w="333" w:type="dxa"/>
            </w:tcMar>
            <w:hideMark/>
          </w:tcPr>
          <w:p w:rsidR="004E7507" w:rsidRPr="004E7507" w:rsidRDefault="004E7507" w:rsidP="004E7507">
            <w:pPr>
              <w:spacing w:after="0" w:line="360" w:lineRule="atLeast"/>
              <w:jc w:val="center"/>
              <w:textAlignment w:val="baseline"/>
              <w:rPr>
                <w:rFonts w:ascii="Helvetica" w:eastAsia="Times New Roman" w:hAnsi="Helvetica" w:cs="Helvetica"/>
                <w:color w:val="555555"/>
                <w:sz w:val="23"/>
                <w:szCs w:val="23"/>
                <w:lang w:eastAsia="en-GB"/>
              </w:rPr>
            </w:pPr>
            <w:r w:rsidRPr="004E7507">
              <w:rPr>
                <w:rFonts w:ascii="Helvetica" w:eastAsia="Times New Roman" w:hAnsi="Helvetica" w:cs="Helvetica"/>
                <w:color w:val="555555"/>
                <w:sz w:val="23"/>
                <w:szCs w:val="23"/>
                <w:lang w:eastAsia="en-GB"/>
              </w:rPr>
              <w:t>0%</w:t>
            </w:r>
          </w:p>
        </w:tc>
      </w:tr>
    </w:tbl>
    <w:p w:rsidR="00BB711C" w:rsidRDefault="00BB711C"/>
    <w:sectPr w:rsidR="00BB711C" w:rsidSect="004E750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28AA"/>
    <w:multiLevelType w:val="multilevel"/>
    <w:tmpl w:val="5DC4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1A70C0"/>
    <w:multiLevelType w:val="multilevel"/>
    <w:tmpl w:val="A8F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C18E7"/>
    <w:multiLevelType w:val="multilevel"/>
    <w:tmpl w:val="00A8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344F23"/>
    <w:multiLevelType w:val="multilevel"/>
    <w:tmpl w:val="71CA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04D82"/>
    <w:multiLevelType w:val="multilevel"/>
    <w:tmpl w:val="65F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905F9A"/>
    <w:multiLevelType w:val="multilevel"/>
    <w:tmpl w:val="9D9A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292D72"/>
    <w:multiLevelType w:val="multilevel"/>
    <w:tmpl w:val="39B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07"/>
    <w:rsid w:val="004C0AB5"/>
    <w:rsid w:val="004E7507"/>
    <w:rsid w:val="00BB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Bean</dc:creator>
  <cp:lastModifiedBy>Refeloe Phahla</cp:lastModifiedBy>
  <cp:revision>2</cp:revision>
  <cp:lastPrinted>2015-01-22T06:35:00Z</cp:lastPrinted>
  <dcterms:created xsi:type="dcterms:W3CDTF">2015-01-23T08:00:00Z</dcterms:created>
  <dcterms:modified xsi:type="dcterms:W3CDTF">2015-01-23T08:00:00Z</dcterms:modified>
</cp:coreProperties>
</file>